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B" w:rsidRDefault="0095087B" w:rsidP="0095087B">
      <w:pPr>
        <w:spacing w:line="360" w:lineRule="auto"/>
        <w:jc w:val="left"/>
        <w:rPr>
          <w:rFonts w:ascii="仿宋" w:eastAsia="仿宋" w:hAnsi="仿宋"/>
          <w:b/>
          <w:sz w:val="44"/>
          <w:szCs w:val="36"/>
        </w:rPr>
      </w:pPr>
      <w:r w:rsidRPr="00B142CD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 xml:space="preserve">1：              </w:t>
      </w:r>
      <w:r>
        <w:rPr>
          <w:rFonts w:ascii="仿宋" w:eastAsia="仿宋" w:hAnsi="仿宋" w:hint="eastAsia"/>
          <w:b/>
          <w:sz w:val="44"/>
          <w:szCs w:val="36"/>
        </w:rPr>
        <w:t xml:space="preserve"> </w:t>
      </w:r>
    </w:p>
    <w:p w:rsidR="0095087B" w:rsidRPr="0095087B" w:rsidRDefault="0095087B" w:rsidP="0095087B">
      <w:pPr>
        <w:spacing w:line="360" w:lineRule="auto"/>
        <w:jc w:val="center"/>
        <w:rPr>
          <w:rFonts w:ascii="仿宋" w:eastAsia="仿宋" w:hAnsi="仿宋"/>
          <w:b/>
          <w:sz w:val="44"/>
          <w:szCs w:val="36"/>
        </w:rPr>
      </w:pPr>
      <w:r w:rsidRPr="0095087B">
        <w:rPr>
          <w:rFonts w:ascii="仿宋" w:eastAsia="仿宋" w:hAnsi="仿宋" w:hint="eastAsia"/>
          <w:b/>
          <w:sz w:val="44"/>
          <w:szCs w:val="36"/>
        </w:rPr>
        <w:t>课程编码规则</w:t>
      </w:r>
    </w:p>
    <w:p w:rsidR="00E613F3" w:rsidRPr="00E613F3" w:rsidRDefault="00E613F3" w:rsidP="002E0E8B">
      <w:pPr>
        <w:spacing w:line="360" w:lineRule="auto"/>
        <w:jc w:val="center"/>
        <w:rPr>
          <w:rFonts w:ascii="仿宋" w:eastAsia="仿宋" w:hAnsi="仿宋"/>
          <w:sz w:val="40"/>
          <w:szCs w:val="28"/>
        </w:rPr>
      </w:pPr>
    </w:p>
    <w:p w:rsidR="002E0E8B" w:rsidRPr="00E613F3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613F3">
        <w:rPr>
          <w:rFonts w:ascii="仿宋" w:eastAsia="仿宋" w:hAnsi="仿宋" w:hint="eastAsia"/>
          <w:sz w:val="28"/>
          <w:szCs w:val="28"/>
        </w:rPr>
        <w:t xml:space="preserve">一、课程编码基本原则 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1</w:t>
      </w:r>
      <w:r w:rsidR="00E613F3">
        <w:rPr>
          <w:rFonts w:ascii="仿宋" w:eastAsia="仿宋" w:hAnsi="仿宋" w:hint="eastAsia"/>
          <w:sz w:val="28"/>
          <w:szCs w:val="28"/>
        </w:rPr>
        <w:t>.</w:t>
      </w:r>
      <w:r w:rsidRPr="0067248D">
        <w:rPr>
          <w:rFonts w:ascii="仿宋" w:eastAsia="仿宋" w:hAnsi="仿宋" w:hint="eastAsia"/>
          <w:sz w:val="28"/>
          <w:szCs w:val="28"/>
        </w:rPr>
        <w:t>课程须有如下完整的课程关键信息: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 xml:space="preserve">(1)课程编码; </w:t>
      </w:r>
    </w:p>
    <w:p w:rsidR="0067248D" w:rsidRDefault="002E0E8B" w:rsidP="0067248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(2)课程中文名称;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(3)</w:t>
      </w:r>
      <w:r w:rsidR="0067248D" w:rsidRPr="0067248D">
        <w:rPr>
          <w:rFonts w:ascii="仿宋" w:eastAsia="仿宋" w:hAnsi="仿宋" w:hint="eastAsia"/>
          <w:sz w:val="28"/>
          <w:szCs w:val="28"/>
        </w:rPr>
        <w:t>课程英文名称</w:t>
      </w:r>
      <w:r w:rsidRPr="0067248D">
        <w:rPr>
          <w:rFonts w:ascii="仿宋" w:eastAsia="仿宋" w:hAnsi="仿宋" w:hint="eastAsia"/>
          <w:sz w:val="28"/>
          <w:szCs w:val="28"/>
        </w:rPr>
        <w:t xml:space="preserve">; 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(4)</w:t>
      </w:r>
      <w:r w:rsidR="0067248D" w:rsidRPr="0067248D">
        <w:rPr>
          <w:rFonts w:ascii="仿宋" w:eastAsia="仿宋" w:hAnsi="仿宋" w:hint="eastAsia"/>
          <w:sz w:val="28"/>
          <w:szCs w:val="28"/>
        </w:rPr>
        <w:t>开课部门</w:t>
      </w:r>
      <w:r w:rsidRPr="0067248D">
        <w:rPr>
          <w:rFonts w:ascii="仿宋" w:eastAsia="仿宋" w:hAnsi="仿宋" w:hint="eastAsia"/>
          <w:sz w:val="28"/>
          <w:szCs w:val="28"/>
        </w:rPr>
        <w:t xml:space="preserve">; </w:t>
      </w:r>
    </w:p>
    <w:p w:rsidR="002E0E8B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(5)</w:t>
      </w:r>
      <w:r w:rsidR="0067248D" w:rsidRPr="0067248D">
        <w:rPr>
          <w:rFonts w:ascii="仿宋" w:eastAsia="仿宋" w:hAnsi="仿宋" w:hint="eastAsia"/>
          <w:sz w:val="28"/>
          <w:szCs w:val="28"/>
        </w:rPr>
        <w:t>课程性质</w:t>
      </w:r>
      <w:r w:rsidRPr="0067248D">
        <w:rPr>
          <w:rFonts w:ascii="仿宋" w:eastAsia="仿宋" w:hAnsi="仿宋" w:hint="eastAsia"/>
          <w:sz w:val="28"/>
          <w:szCs w:val="28"/>
        </w:rPr>
        <w:t xml:space="preserve">; </w:t>
      </w:r>
    </w:p>
    <w:p w:rsidR="005B0EDF" w:rsidRDefault="005B0EDF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(6)</w:t>
      </w:r>
      <w:r>
        <w:rPr>
          <w:rFonts w:ascii="仿宋" w:eastAsia="仿宋" w:hAnsi="仿宋" w:hint="eastAsia"/>
          <w:sz w:val="28"/>
          <w:szCs w:val="28"/>
        </w:rPr>
        <w:t>课程类型；</w:t>
      </w:r>
    </w:p>
    <w:p w:rsidR="001E2625" w:rsidRPr="0067248D" w:rsidRDefault="001E2625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7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成绩录入级别（考试课为百分制，考查课为五级制）</w:t>
      </w:r>
    </w:p>
    <w:p w:rsidR="001E2625" w:rsidRDefault="001E2625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8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是否实践课（课程类型为C的课程填“是”）</w:t>
      </w:r>
    </w:p>
    <w:p w:rsidR="001E2625" w:rsidRDefault="001E2625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9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实践周数</w:t>
      </w:r>
    </w:p>
    <w:p w:rsidR="002E0E8B" w:rsidRPr="0067248D" w:rsidRDefault="005B0EDF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 w:rsidR="001E2625">
        <w:rPr>
          <w:rFonts w:ascii="仿宋" w:eastAsia="仿宋" w:hAnsi="仿宋" w:hint="eastAsia"/>
          <w:sz w:val="28"/>
          <w:szCs w:val="28"/>
        </w:rPr>
        <w:t>10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 w:rsidR="0067248D" w:rsidRPr="0067248D">
        <w:rPr>
          <w:rFonts w:ascii="仿宋" w:eastAsia="仿宋" w:hAnsi="仿宋" w:hint="eastAsia"/>
          <w:sz w:val="28"/>
          <w:szCs w:val="28"/>
        </w:rPr>
        <w:t>学分</w:t>
      </w:r>
      <w:r w:rsidR="002E0E8B" w:rsidRPr="0067248D">
        <w:rPr>
          <w:rFonts w:ascii="仿宋" w:eastAsia="仿宋" w:hAnsi="仿宋" w:hint="eastAsia"/>
          <w:sz w:val="28"/>
          <w:szCs w:val="28"/>
        </w:rPr>
        <w:t xml:space="preserve">; 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 w:rsidR="001E2625">
        <w:rPr>
          <w:rFonts w:ascii="仿宋" w:eastAsia="仿宋" w:hAnsi="仿宋" w:hint="eastAsia"/>
          <w:sz w:val="28"/>
          <w:szCs w:val="28"/>
        </w:rPr>
        <w:t>11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 w:rsidR="0067248D" w:rsidRPr="0067248D">
        <w:rPr>
          <w:rFonts w:ascii="仿宋" w:eastAsia="仿宋" w:hAnsi="仿宋" w:hint="eastAsia"/>
          <w:sz w:val="28"/>
          <w:szCs w:val="28"/>
        </w:rPr>
        <w:t>总学时</w:t>
      </w:r>
      <w:r w:rsidRPr="0067248D">
        <w:rPr>
          <w:rFonts w:ascii="仿宋" w:eastAsia="仿宋" w:hAnsi="仿宋" w:hint="eastAsia"/>
          <w:sz w:val="28"/>
          <w:szCs w:val="28"/>
        </w:rPr>
        <w:t>;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(</w:t>
      </w:r>
      <w:r w:rsidR="001E2625">
        <w:rPr>
          <w:rFonts w:ascii="仿宋" w:eastAsia="仿宋" w:hAnsi="仿宋" w:hint="eastAsia"/>
          <w:sz w:val="28"/>
          <w:szCs w:val="28"/>
        </w:rPr>
        <w:t>12</w:t>
      </w:r>
      <w:r w:rsidRPr="0067248D">
        <w:rPr>
          <w:rFonts w:ascii="仿宋" w:eastAsia="仿宋" w:hAnsi="仿宋" w:hint="eastAsia"/>
          <w:sz w:val="28"/>
          <w:szCs w:val="28"/>
        </w:rPr>
        <w:t>)</w:t>
      </w:r>
      <w:r w:rsidR="0067248D" w:rsidRPr="0067248D">
        <w:rPr>
          <w:rFonts w:ascii="仿宋" w:eastAsia="仿宋" w:hAnsi="仿宋" w:hint="eastAsia"/>
          <w:sz w:val="28"/>
          <w:szCs w:val="28"/>
        </w:rPr>
        <w:t>周学时</w:t>
      </w:r>
      <w:r w:rsidRPr="0067248D">
        <w:rPr>
          <w:rFonts w:ascii="仿宋" w:eastAsia="仿宋" w:hAnsi="仿宋" w:hint="eastAsia"/>
          <w:sz w:val="28"/>
          <w:szCs w:val="28"/>
        </w:rPr>
        <w:t xml:space="preserve">; 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每一门课程的编码必须是唯一的。</w:t>
      </w:r>
      <w:r w:rsidR="005B0EDF">
        <w:rPr>
          <w:rFonts w:ascii="仿宋" w:eastAsia="仿宋" w:hAnsi="仿宋" w:hint="eastAsia"/>
          <w:sz w:val="28"/>
          <w:szCs w:val="28"/>
        </w:rPr>
        <w:t>除周学时外，</w:t>
      </w:r>
      <w:proofErr w:type="gramStart"/>
      <w:r w:rsidRPr="0067248D">
        <w:rPr>
          <w:rFonts w:ascii="仿宋" w:eastAsia="仿宋" w:hAnsi="仿宋" w:hint="eastAsia"/>
          <w:sz w:val="28"/>
          <w:szCs w:val="28"/>
        </w:rPr>
        <w:t>凡以上</w:t>
      </w:r>
      <w:proofErr w:type="gramEnd"/>
      <w:r w:rsidRPr="0067248D">
        <w:rPr>
          <w:rFonts w:ascii="仿宋" w:eastAsia="仿宋" w:hAnsi="仿宋" w:hint="eastAsia"/>
          <w:sz w:val="28"/>
          <w:szCs w:val="28"/>
        </w:rPr>
        <w:t>课程关键信息若有不同，则视为不同课程，分别编码</w:t>
      </w:r>
      <w:r w:rsidR="005B0EDF">
        <w:rPr>
          <w:rFonts w:ascii="仿宋" w:eastAsia="仿宋" w:hAnsi="仿宋" w:hint="eastAsia"/>
          <w:sz w:val="28"/>
          <w:szCs w:val="28"/>
        </w:rPr>
        <w:t>。</w:t>
      </w:r>
    </w:p>
    <w:p w:rsidR="002E0E8B" w:rsidRPr="0067248D" w:rsidRDefault="002E0E8B" w:rsidP="002E0E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 xml:space="preserve">二、课程编码规则 </w:t>
      </w:r>
    </w:p>
    <w:p w:rsidR="0067248D" w:rsidRDefault="002E0E8B" w:rsidP="0067248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248D">
        <w:rPr>
          <w:rFonts w:ascii="仿宋" w:eastAsia="仿宋" w:hAnsi="仿宋" w:hint="eastAsia"/>
          <w:sz w:val="28"/>
          <w:szCs w:val="28"/>
        </w:rPr>
        <w:t>课程编码由</w:t>
      </w:r>
      <w:r w:rsidR="0067248D">
        <w:rPr>
          <w:rFonts w:ascii="仿宋" w:eastAsia="仿宋" w:hAnsi="仿宋" w:hint="eastAsia"/>
          <w:sz w:val="28"/>
          <w:szCs w:val="28"/>
        </w:rPr>
        <w:t>9</w:t>
      </w:r>
      <w:r w:rsidRPr="0067248D">
        <w:rPr>
          <w:rFonts w:ascii="仿宋" w:eastAsia="仿宋" w:hAnsi="仿宋" w:hint="eastAsia"/>
          <w:sz w:val="28"/>
          <w:szCs w:val="28"/>
        </w:rPr>
        <w:t>位数字或字母组成，包含课程性质、开课</w:t>
      </w:r>
      <w:r w:rsidR="0067248D">
        <w:rPr>
          <w:rFonts w:ascii="仿宋" w:eastAsia="仿宋" w:hAnsi="仿宋" w:hint="eastAsia"/>
          <w:sz w:val="28"/>
          <w:szCs w:val="28"/>
        </w:rPr>
        <w:t>部门</w:t>
      </w:r>
      <w:r w:rsidRPr="0067248D">
        <w:rPr>
          <w:rFonts w:ascii="仿宋" w:eastAsia="仿宋" w:hAnsi="仿宋" w:hint="eastAsia"/>
          <w:sz w:val="28"/>
          <w:szCs w:val="28"/>
        </w:rPr>
        <w:t>、 课程序号等信息。</w:t>
      </w:r>
    </w:p>
    <w:p w:rsidR="0067248D" w:rsidRPr="00DF1092" w:rsidRDefault="0067248D" w:rsidP="0067248D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lastRenderedPageBreak/>
        <w:t>AA</w:t>
      </w:r>
      <w:r w:rsidRPr="00DF109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B</w:t>
      </w:r>
      <w:r w:rsidRPr="00DF109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C</w:t>
      </w:r>
      <w:r w:rsidRPr="00DF109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DD</w:t>
      </w:r>
      <w:r w:rsidRPr="00DF109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EEE</w:t>
      </w:r>
    </w:p>
    <w:p w:rsidR="0067248D" w:rsidRPr="00DF1092" w:rsidRDefault="0067248D" w:rsidP="0067248D">
      <w:pPr>
        <w:ind w:firstLineChars="200" w:firstLine="562"/>
        <w:rPr>
          <w:rFonts w:ascii="楷体_GB2312" w:eastAsia="楷体_GB2312"/>
          <w:sz w:val="28"/>
          <w:szCs w:val="28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AA</w:t>
      </w:r>
      <w:r w:rsidRPr="00DF1092">
        <w:rPr>
          <w:rFonts w:ascii="楷体_GB2312" w:eastAsia="楷体_GB2312" w:hint="eastAsia"/>
          <w:sz w:val="28"/>
          <w:szCs w:val="28"/>
        </w:rPr>
        <w:t>——表示课程属性（01公共基础学习领域课程；02专业基础学习领域课程；03专业核心学习领域课程；04专业拓展学习领域课程；05公共素质拓展学习领域课程）</w:t>
      </w:r>
    </w:p>
    <w:p w:rsidR="0067248D" w:rsidRPr="00DF1092" w:rsidRDefault="0067248D" w:rsidP="0067248D">
      <w:pPr>
        <w:ind w:firstLineChars="200" w:firstLine="562"/>
        <w:rPr>
          <w:rFonts w:ascii="楷体_GB2312" w:eastAsia="楷体_GB2312"/>
          <w:sz w:val="28"/>
          <w:szCs w:val="28"/>
          <w:u w:val="single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B</w:t>
      </w:r>
      <w:r w:rsidRPr="00DF1092">
        <w:rPr>
          <w:rFonts w:ascii="楷体_GB2312" w:eastAsia="楷体_GB2312" w:hint="eastAsia"/>
          <w:sz w:val="28"/>
          <w:szCs w:val="28"/>
        </w:rPr>
        <w:t>——表示课程性质（</w:t>
      </w:r>
      <w:r w:rsidRPr="00DF1092">
        <w:rPr>
          <w:rFonts w:ascii="楷体_GB2312" w:eastAsia="楷体_GB2312" w:hint="eastAsia"/>
          <w:sz w:val="28"/>
          <w:szCs w:val="28"/>
        </w:rPr>
        <w:tab/>
        <w:t>B必修课X选修课）</w:t>
      </w:r>
    </w:p>
    <w:p w:rsidR="0067248D" w:rsidRPr="00DF1092" w:rsidRDefault="0067248D" w:rsidP="0067248D">
      <w:pPr>
        <w:ind w:firstLineChars="200" w:firstLine="562"/>
        <w:rPr>
          <w:rFonts w:ascii="楷体_GB2312" w:eastAsia="楷体_GB2312"/>
          <w:sz w:val="28"/>
          <w:szCs w:val="28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C</w:t>
      </w:r>
      <w:r w:rsidRPr="00DF1092">
        <w:rPr>
          <w:rFonts w:ascii="楷体_GB2312" w:eastAsia="楷体_GB2312" w:hint="eastAsia"/>
          <w:sz w:val="28"/>
          <w:szCs w:val="28"/>
        </w:rPr>
        <w:t>——表示课程类型（A为A类；B为B类；C为C类）</w:t>
      </w:r>
    </w:p>
    <w:p w:rsidR="0067248D" w:rsidRPr="00DF1092" w:rsidRDefault="0067248D" w:rsidP="0067248D">
      <w:pPr>
        <w:ind w:firstLineChars="200" w:firstLine="562"/>
        <w:rPr>
          <w:rFonts w:ascii="楷体_GB2312" w:eastAsia="楷体_GB2312"/>
          <w:sz w:val="28"/>
          <w:szCs w:val="28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DD</w:t>
      </w:r>
      <w:r w:rsidRPr="00DF1092">
        <w:rPr>
          <w:rFonts w:ascii="楷体_GB2312" w:eastAsia="楷体_GB2312" w:hint="eastAsia"/>
          <w:sz w:val="28"/>
          <w:szCs w:val="28"/>
        </w:rPr>
        <w:t>——表示开课部门代码</w:t>
      </w:r>
    </w:p>
    <w:tbl>
      <w:tblPr>
        <w:tblpPr w:leftFromText="180" w:rightFromText="180" w:vertAnchor="text" w:horzAnchor="margin" w:tblpY="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2694"/>
      </w:tblGrid>
      <w:tr w:rsidR="00E613F3" w:rsidRPr="0067248D" w:rsidTr="00E613F3">
        <w:trPr>
          <w:trHeight w:val="20"/>
        </w:trPr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公路与铁道工程学院：17</w:t>
            </w:r>
          </w:p>
        </w:tc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建筑与测绘工程学院：18</w:t>
            </w:r>
          </w:p>
        </w:tc>
        <w:tc>
          <w:tcPr>
            <w:tcW w:w="2694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经济管理学院：19</w:t>
            </w:r>
          </w:p>
        </w:tc>
      </w:tr>
      <w:tr w:rsidR="00E613F3" w:rsidRPr="0067248D" w:rsidTr="00E613F3">
        <w:trPr>
          <w:trHeight w:val="20"/>
        </w:trPr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汽车工程学院：20</w:t>
            </w:r>
          </w:p>
        </w:tc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轨道交通学院：21</w:t>
            </w:r>
          </w:p>
        </w:tc>
        <w:tc>
          <w:tcPr>
            <w:tcW w:w="2694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交通信息学院：22</w:t>
            </w:r>
          </w:p>
        </w:tc>
      </w:tr>
      <w:tr w:rsidR="00E613F3" w:rsidRPr="0067248D" w:rsidTr="00E613F3">
        <w:trPr>
          <w:trHeight w:val="20"/>
        </w:trPr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基础部：23</w:t>
            </w:r>
          </w:p>
        </w:tc>
        <w:tc>
          <w:tcPr>
            <w:tcW w:w="3402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7248D">
              <w:rPr>
                <w:rFonts w:ascii="仿宋" w:eastAsia="仿宋" w:hAnsi="仿宋" w:hint="eastAsia"/>
                <w:sz w:val="28"/>
                <w:szCs w:val="28"/>
              </w:rPr>
              <w:t>思政部</w:t>
            </w:r>
            <w:proofErr w:type="gramEnd"/>
            <w:r w:rsidRPr="0067248D">
              <w:rPr>
                <w:rFonts w:ascii="仿宋" w:eastAsia="仿宋" w:hAnsi="仿宋" w:hint="eastAsia"/>
                <w:sz w:val="28"/>
                <w:szCs w:val="28"/>
              </w:rPr>
              <w:t>：24</w:t>
            </w:r>
          </w:p>
        </w:tc>
        <w:tc>
          <w:tcPr>
            <w:tcW w:w="2694" w:type="dxa"/>
          </w:tcPr>
          <w:p w:rsidR="00E613F3" w:rsidRPr="0067248D" w:rsidRDefault="00E613F3" w:rsidP="00E613F3">
            <w:pPr>
              <w:rPr>
                <w:rFonts w:ascii="仿宋" w:eastAsia="仿宋" w:hAnsi="仿宋"/>
                <w:sz w:val="28"/>
                <w:szCs w:val="28"/>
              </w:rPr>
            </w:pPr>
            <w:r w:rsidRPr="0067248D">
              <w:rPr>
                <w:rFonts w:ascii="仿宋" w:eastAsia="仿宋" w:hAnsi="仿宋" w:hint="eastAsia"/>
                <w:sz w:val="28"/>
                <w:szCs w:val="28"/>
              </w:rPr>
              <w:t>体育部：25</w:t>
            </w:r>
          </w:p>
        </w:tc>
      </w:tr>
    </w:tbl>
    <w:p w:rsidR="0067248D" w:rsidRPr="00DF1092" w:rsidRDefault="0067248D" w:rsidP="0067248D">
      <w:pPr>
        <w:ind w:firstLineChars="200" w:firstLine="562"/>
        <w:rPr>
          <w:rFonts w:ascii="楷体_GB2312" w:eastAsia="楷体_GB2312"/>
          <w:sz w:val="28"/>
          <w:szCs w:val="28"/>
          <w:u w:val="single"/>
        </w:rPr>
      </w:pPr>
      <w:r w:rsidRPr="00DF1092">
        <w:rPr>
          <w:rFonts w:ascii="楷体_GB2312" w:eastAsia="楷体_GB2312" w:hint="eastAsia"/>
          <w:b/>
          <w:sz w:val="28"/>
          <w:szCs w:val="28"/>
          <w:u w:val="single"/>
        </w:rPr>
        <w:t>EEE</w:t>
      </w:r>
      <w:r w:rsidRPr="00DF1092">
        <w:rPr>
          <w:rFonts w:ascii="楷体_GB2312" w:eastAsia="楷体_GB2312" w:hint="eastAsia"/>
          <w:sz w:val="28"/>
          <w:szCs w:val="28"/>
        </w:rPr>
        <w:t>——表示课程流水号</w:t>
      </w:r>
    </w:p>
    <w:p w:rsidR="005B0EDF" w:rsidRDefault="00E613F3" w:rsidP="00E613F3">
      <w:pPr>
        <w:widowControl/>
        <w:ind w:firstLineChars="200" w:firstLine="560"/>
        <w:rPr>
          <w:rFonts w:ascii="Arial" w:hAnsi="Arial" w:cs="Arial"/>
          <w:kern w:val="0"/>
          <w:sz w:val="28"/>
          <w:szCs w:val="20"/>
        </w:rPr>
      </w:pPr>
      <w:r w:rsidRPr="00E613F3">
        <w:rPr>
          <w:rFonts w:ascii="Arial" w:hAnsi="Arial" w:cs="Arial" w:hint="eastAsia"/>
          <w:kern w:val="0"/>
          <w:sz w:val="28"/>
          <w:szCs w:val="20"/>
        </w:rPr>
        <w:t>例：</w:t>
      </w:r>
      <w:r w:rsidR="0067248D" w:rsidRPr="00E613F3">
        <w:rPr>
          <w:rFonts w:ascii="Arial" w:hAnsi="Arial" w:cs="Arial"/>
          <w:kern w:val="0"/>
          <w:sz w:val="28"/>
          <w:szCs w:val="20"/>
          <w:u w:val="single"/>
        </w:rPr>
        <w:t>01</w:t>
      </w:r>
      <w:r w:rsidR="0067248D" w:rsidRPr="00E613F3">
        <w:rPr>
          <w:rFonts w:ascii="Arial" w:hAnsi="Arial" w:cs="Arial" w:hint="eastAsia"/>
          <w:kern w:val="0"/>
          <w:sz w:val="28"/>
          <w:szCs w:val="20"/>
        </w:rPr>
        <w:t xml:space="preserve"> </w:t>
      </w:r>
      <w:r w:rsidR="0067248D" w:rsidRPr="00E613F3">
        <w:rPr>
          <w:rFonts w:ascii="Arial" w:hAnsi="Arial" w:cs="Arial"/>
          <w:kern w:val="0"/>
          <w:sz w:val="28"/>
          <w:szCs w:val="20"/>
          <w:u w:val="single"/>
        </w:rPr>
        <w:t>B</w:t>
      </w:r>
      <w:r w:rsidR="0067248D" w:rsidRPr="00E613F3">
        <w:rPr>
          <w:rFonts w:ascii="Arial" w:hAnsi="Arial" w:cs="Arial" w:hint="eastAsia"/>
          <w:kern w:val="0"/>
          <w:sz w:val="28"/>
          <w:szCs w:val="20"/>
        </w:rPr>
        <w:t xml:space="preserve"> </w:t>
      </w:r>
      <w:proofErr w:type="spellStart"/>
      <w:r w:rsidR="0067248D" w:rsidRPr="00E613F3">
        <w:rPr>
          <w:rFonts w:ascii="Arial" w:hAnsi="Arial" w:cs="Arial"/>
          <w:kern w:val="0"/>
          <w:sz w:val="28"/>
          <w:szCs w:val="20"/>
          <w:u w:val="single"/>
        </w:rPr>
        <w:t>B</w:t>
      </w:r>
      <w:proofErr w:type="spellEnd"/>
      <w:r w:rsidR="0067248D" w:rsidRPr="00E613F3">
        <w:rPr>
          <w:rFonts w:ascii="Arial" w:hAnsi="Arial" w:cs="Arial" w:hint="eastAsia"/>
          <w:kern w:val="0"/>
          <w:sz w:val="28"/>
          <w:szCs w:val="20"/>
        </w:rPr>
        <w:t xml:space="preserve"> </w:t>
      </w:r>
      <w:r w:rsidR="0067248D" w:rsidRPr="00E613F3">
        <w:rPr>
          <w:rFonts w:ascii="Arial" w:hAnsi="Arial" w:cs="Arial"/>
          <w:kern w:val="0"/>
          <w:sz w:val="28"/>
          <w:szCs w:val="20"/>
          <w:u w:val="single"/>
        </w:rPr>
        <w:t>23</w:t>
      </w:r>
      <w:r w:rsidR="0067248D" w:rsidRPr="00E613F3">
        <w:rPr>
          <w:rFonts w:ascii="Arial" w:hAnsi="Arial" w:cs="Arial" w:hint="eastAsia"/>
          <w:kern w:val="0"/>
          <w:sz w:val="28"/>
          <w:szCs w:val="20"/>
        </w:rPr>
        <w:t xml:space="preserve"> </w:t>
      </w:r>
      <w:r w:rsidR="0067248D" w:rsidRPr="00E613F3">
        <w:rPr>
          <w:rFonts w:ascii="Arial" w:hAnsi="Arial" w:cs="Arial"/>
          <w:kern w:val="0"/>
          <w:sz w:val="28"/>
          <w:szCs w:val="20"/>
          <w:u w:val="single"/>
        </w:rPr>
        <w:t>001</w:t>
      </w:r>
      <w:r w:rsidR="005B0EDF">
        <w:rPr>
          <w:rFonts w:ascii="Arial" w:hAnsi="Arial" w:cs="Arial" w:hint="eastAsia"/>
          <w:kern w:val="0"/>
          <w:sz w:val="28"/>
          <w:szCs w:val="20"/>
          <w:u w:val="single"/>
        </w:rPr>
        <w:t xml:space="preserve"> </w:t>
      </w:r>
      <w:r w:rsidR="005B0EDF">
        <w:rPr>
          <w:rFonts w:ascii="Arial" w:hAnsi="Arial" w:cs="Arial" w:hint="eastAsia"/>
          <w:kern w:val="0"/>
          <w:sz w:val="28"/>
          <w:szCs w:val="20"/>
        </w:rPr>
        <w:t xml:space="preserve"> </w:t>
      </w:r>
    </w:p>
    <w:p w:rsidR="0067248D" w:rsidRPr="000C787C" w:rsidRDefault="005B0EDF" w:rsidP="00E613F3">
      <w:pPr>
        <w:widowControl/>
        <w:ind w:firstLineChars="200" w:firstLine="560"/>
        <w:rPr>
          <w:rFonts w:ascii="楷体_GB2312" w:eastAsia="楷体_GB2312"/>
          <w:sz w:val="28"/>
          <w:szCs w:val="28"/>
        </w:rPr>
      </w:pPr>
      <w:r w:rsidRPr="000C787C">
        <w:rPr>
          <w:rFonts w:ascii="楷体_GB2312" w:eastAsia="楷体_GB2312" w:hint="eastAsia"/>
          <w:sz w:val="28"/>
          <w:szCs w:val="28"/>
        </w:rPr>
        <w:t>指基础部开设的公共基础学习领域必修课程号为001号，该课程类型为</w:t>
      </w:r>
      <w:r w:rsidR="00BD6B9B" w:rsidRPr="000C787C">
        <w:rPr>
          <w:rFonts w:ascii="楷体_GB2312" w:eastAsia="楷体_GB2312" w:hint="eastAsia"/>
          <w:sz w:val="28"/>
          <w:szCs w:val="28"/>
        </w:rPr>
        <w:t>B类</w:t>
      </w:r>
      <w:r w:rsidRPr="000C787C">
        <w:rPr>
          <w:rFonts w:ascii="楷体_GB2312" w:eastAsia="楷体_GB2312" w:hint="eastAsia"/>
          <w:sz w:val="28"/>
          <w:szCs w:val="28"/>
        </w:rPr>
        <w:t>（</w:t>
      </w:r>
      <w:r w:rsidR="00BD6B9B">
        <w:rPr>
          <w:rFonts w:ascii="楷体_GB2312" w:eastAsia="楷体_GB2312" w:hint="eastAsia"/>
          <w:sz w:val="28"/>
          <w:szCs w:val="28"/>
        </w:rPr>
        <w:t>理</w:t>
      </w:r>
      <w:bookmarkStart w:id="0" w:name="_GoBack"/>
      <w:bookmarkEnd w:id="0"/>
      <w:r w:rsidR="00BD6B9B">
        <w:rPr>
          <w:rFonts w:ascii="楷体_GB2312" w:eastAsia="楷体_GB2312" w:hint="eastAsia"/>
          <w:sz w:val="28"/>
          <w:szCs w:val="28"/>
        </w:rPr>
        <w:t>论+实践</w:t>
      </w:r>
      <w:r w:rsidR="00BD6B9B" w:rsidRPr="000C787C">
        <w:rPr>
          <w:rFonts w:ascii="楷体_GB2312" w:eastAsia="楷体_GB2312" w:hint="eastAsia"/>
          <w:sz w:val="28"/>
          <w:szCs w:val="28"/>
        </w:rPr>
        <w:t>类</w:t>
      </w:r>
      <w:r w:rsidRPr="000C787C">
        <w:rPr>
          <w:rFonts w:ascii="楷体_GB2312" w:eastAsia="楷体_GB2312" w:hint="eastAsia"/>
          <w:sz w:val="28"/>
          <w:szCs w:val="28"/>
        </w:rPr>
        <w:t>）</w:t>
      </w:r>
    </w:p>
    <w:sectPr w:rsidR="0067248D" w:rsidRPr="000C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904"/>
    <w:rsid w:val="000C787C"/>
    <w:rsid w:val="001E2625"/>
    <w:rsid w:val="00234904"/>
    <w:rsid w:val="002E0E8B"/>
    <w:rsid w:val="00571137"/>
    <w:rsid w:val="005B0EDF"/>
    <w:rsid w:val="0067248D"/>
    <w:rsid w:val="007A2C18"/>
    <w:rsid w:val="0095087B"/>
    <w:rsid w:val="00A64845"/>
    <w:rsid w:val="00BD6B9B"/>
    <w:rsid w:val="00E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2019-11-11T05:31:00Z</cp:lastPrinted>
  <dcterms:created xsi:type="dcterms:W3CDTF">2019-11-08T00:42:00Z</dcterms:created>
  <dcterms:modified xsi:type="dcterms:W3CDTF">2019-11-11T05:31:00Z</dcterms:modified>
</cp:coreProperties>
</file>